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60078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3685"/>
        <w:gridCol w:w="3486"/>
      </w:tblGrid>
      <w:tr w:rsidR="00A06425" w:rsidRPr="00A06425" w14:paraId="0AFBFAD6" w14:textId="77777777" w:rsidTr="00A06425">
        <w:tc>
          <w:tcPr>
            <w:tcW w:w="15388" w:type="dxa"/>
            <w:gridSpan w:val="6"/>
            <w:vAlign w:val="center"/>
          </w:tcPr>
          <w:p w14:paraId="47D9D638" w14:textId="3024D8E3" w:rsidR="00A06425" w:rsidRPr="00595108" w:rsidRDefault="00A06425" w:rsidP="00B871B6">
            <w:pPr>
              <w:spacing w:before="120" w:after="120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27917" w:rsidRPr="0059510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27917" w:rsidRPr="00595108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przedsięwzięcia Portal Danych o Obrocie Mieszkaniami (Portal DOM)</w:t>
            </w:r>
          </w:p>
        </w:tc>
      </w:tr>
      <w:tr w:rsidR="00A06425" w:rsidRPr="00A06425" w14:paraId="61750D03" w14:textId="77777777" w:rsidTr="009278F4">
        <w:tc>
          <w:tcPr>
            <w:tcW w:w="562" w:type="dxa"/>
            <w:vAlign w:val="center"/>
          </w:tcPr>
          <w:p w14:paraId="7FD2AB12" w14:textId="77777777" w:rsidR="00A06425" w:rsidRPr="005951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4FF9CEBE" w14:textId="77777777" w:rsidR="00A06425" w:rsidRPr="005951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3D7D3CF2" w14:textId="77777777" w:rsidR="00A06425" w:rsidRPr="005951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0897D54D" w14:textId="77777777" w:rsidR="00A06425" w:rsidRPr="005951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685" w:type="dxa"/>
            <w:vAlign w:val="center"/>
          </w:tcPr>
          <w:p w14:paraId="43DEA617" w14:textId="77777777" w:rsidR="00A06425" w:rsidRPr="00595108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486" w:type="dxa"/>
            <w:vAlign w:val="center"/>
          </w:tcPr>
          <w:p w14:paraId="4F96A642" w14:textId="77777777" w:rsidR="00A06425" w:rsidRPr="00595108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2B4555" w:rsidRPr="00A06425" w14:paraId="322D459C" w14:textId="77777777" w:rsidTr="009278F4">
        <w:tc>
          <w:tcPr>
            <w:tcW w:w="562" w:type="dxa"/>
          </w:tcPr>
          <w:p w14:paraId="54BE4547" w14:textId="317444BF" w:rsidR="002B4555" w:rsidRPr="00595108" w:rsidRDefault="002B4555" w:rsidP="002B455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  <w:p w14:paraId="07CF6678" w14:textId="77777777" w:rsidR="002B4555" w:rsidRPr="00595108" w:rsidRDefault="002B4555" w:rsidP="002B455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749886" w14:textId="77777777" w:rsidR="002B4555" w:rsidRPr="00595108" w:rsidRDefault="002B4555" w:rsidP="002B455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  <w:p w14:paraId="3A9AB1E8" w14:textId="77777777" w:rsidR="002B4555" w:rsidRPr="00595108" w:rsidRDefault="002B4555" w:rsidP="002B455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6E0C1D73" w14:textId="77777777" w:rsidR="002B4555" w:rsidRPr="00595108" w:rsidRDefault="002B4555" w:rsidP="002B45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Uwaga ogólna</w:t>
            </w:r>
          </w:p>
          <w:p w14:paraId="5BA7E07B" w14:textId="77777777" w:rsidR="002B4555" w:rsidRPr="00595108" w:rsidRDefault="002B4555" w:rsidP="002B45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69046C1E" w14:textId="77777777" w:rsidR="00A71635" w:rsidRDefault="002B4555" w:rsidP="002B45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Proponowany system dubluje funkcjonalności usług sieciowych udostępniających dane RCN</w:t>
            </w:r>
            <w:r w:rsidR="00A7163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CC1EF9A" w14:textId="77777777" w:rsidR="002B4555" w:rsidRPr="00595108" w:rsidRDefault="002B4555" w:rsidP="002B45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11DB88" w14:textId="77777777" w:rsidR="002B4555" w:rsidRDefault="002B4555" w:rsidP="002B455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Rejestr Cen i Wartości Nieruchomości (RCN) to publiczny rejestr zawierający dane o transakcjach nieruchomości w Polsce.</w:t>
            </w:r>
          </w:p>
          <w:p w14:paraId="3B6663EC" w14:textId="3C9EBFD0" w:rsidR="00A71635" w:rsidRPr="00A71635" w:rsidRDefault="00A71635" w:rsidP="002B45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Rejestr 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funkcjonuje od kilkudziesięciu lat i związku z tym pozwala na wykonywanie analiz również w zakresie zmian i trendów na rynku nieruchomości.</w:t>
            </w:r>
          </w:p>
          <w:p w14:paraId="525BA84C" w14:textId="331FE286" w:rsidR="002B4555" w:rsidRPr="00595108" w:rsidRDefault="002B4555" w:rsidP="002B45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Dane RCN są dostępne bezpłatnie w serwisie Geoportal.gov.pl w modułach: „</w:t>
            </w:r>
            <w:proofErr w:type="spellStart"/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Geoportal</w:t>
            </w:r>
            <w:proofErr w:type="spellEnd"/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krajowy”, „Geodezja i Kartografia” oraz „Rejestr Cen Nieruchomości”. Użytkownik może przeglądać ceny transakcji na mapie interaktywnej</w:t>
            </w:r>
            <w:r w:rsidRPr="00E424AC">
              <w:rPr>
                <w:rFonts w:asciiTheme="minorHAnsi" w:hAnsiTheme="minorHAnsi" w:cstheme="minorHAnsi"/>
                <w:sz w:val="22"/>
                <w:szCs w:val="22"/>
              </w:rPr>
              <w:t>, klikając w wybrane lokalizacje, aby zobaczyć szczegóły dotyczące działek, budynków i lokali, w tym rodzaj rynku, parametry nieruchomości oraz datę transakcji.</w:t>
            </w:r>
          </w:p>
        </w:tc>
        <w:tc>
          <w:tcPr>
            <w:tcW w:w="3685" w:type="dxa"/>
          </w:tcPr>
          <w:p w14:paraId="21544EBE" w14:textId="77777777" w:rsidR="002B4555" w:rsidRPr="00595108" w:rsidRDefault="002B4555" w:rsidP="002B45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4CB1D6B9" w14:textId="730F95A7" w:rsidR="00FC5D7A" w:rsidRDefault="00DD0124" w:rsidP="00DD012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Zaktualizowano opis stanu obecnego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poprzez </w:t>
            </w:r>
            <w:r w:rsidR="003233B6">
              <w:rPr>
                <w:rFonts w:asciiTheme="minorHAnsi" w:hAnsiTheme="minorHAnsi" w:cstheme="minorHAnsi"/>
                <w:sz w:val="22"/>
                <w:szCs w:val="22"/>
              </w:rPr>
              <w:t>wskazanie, że</w:t>
            </w:r>
            <w:r w:rsidRPr="004933F2">
              <w:rPr>
                <w:rFonts w:asciiTheme="minorHAnsi" w:hAnsiTheme="minorHAnsi" w:cstheme="minorHAnsi"/>
                <w:sz w:val="22"/>
                <w:szCs w:val="22"/>
              </w:rPr>
              <w:t xml:space="preserve"> dane </w:t>
            </w:r>
            <w:r w:rsidR="00B83645">
              <w:rPr>
                <w:rFonts w:asciiTheme="minorHAnsi" w:hAnsiTheme="minorHAnsi" w:cstheme="minorHAnsi"/>
                <w:sz w:val="22"/>
                <w:szCs w:val="22"/>
              </w:rPr>
              <w:t>w Portalu DOM będą obejmować, rów</w:t>
            </w:r>
            <w:r w:rsidR="003B4CB4">
              <w:rPr>
                <w:rFonts w:asciiTheme="minorHAnsi" w:hAnsiTheme="minorHAnsi" w:cstheme="minorHAnsi"/>
                <w:sz w:val="22"/>
                <w:szCs w:val="22"/>
              </w:rPr>
              <w:t xml:space="preserve">nież dane </w:t>
            </w:r>
            <w:r w:rsidR="00527397">
              <w:rPr>
                <w:rFonts w:asciiTheme="minorHAnsi" w:hAnsiTheme="minorHAnsi" w:cstheme="minorHAnsi"/>
                <w:sz w:val="22"/>
                <w:szCs w:val="22"/>
              </w:rPr>
              <w:t xml:space="preserve">z rynku pierwotnego </w:t>
            </w:r>
            <w:r w:rsidR="00527397" w:rsidRPr="001A0B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 zakresie cen </w:t>
            </w:r>
            <w:r w:rsidR="00F83106" w:rsidRPr="001A0BD0">
              <w:rPr>
                <w:rFonts w:asciiTheme="minorHAnsi" w:hAnsiTheme="minorHAnsi" w:cstheme="minorHAnsi"/>
                <w:b/>
                <w:sz w:val="22"/>
                <w:szCs w:val="22"/>
              </w:rPr>
              <w:t>z umów dew</w:t>
            </w:r>
            <w:r w:rsidR="00364E04" w:rsidRPr="001A0BD0">
              <w:rPr>
                <w:rFonts w:asciiTheme="minorHAnsi" w:hAnsiTheme="minorHAnsi" w:cstheme="minorHAnsi"/>
                <w:b/>
                <w:sz w:val="22"/>
                <w:szCs w:val="22"/>
              </w:rPr>
              <w:t>eloperskich</w:t>
            </w:r>
            <w:r w:rsidR="00FC5D7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1453D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  <w:p w14:paraId="3A5D8E6A" w14:textId="334790B1" w:rsidR="002B4555" w:rsidRPr="00595108" w:rsidRDefault="00DD0124" w:rsidP="00DD0124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3B84966C">
              <w:rPr>
                <w:rFonts w:asciiTheme="minorHAnsi" w:hAnsiTheme="minorHAnsi" w:cstheme="minorBidi"/>
                <w:b/>
                <w:sz w:val="22"/>
                <w:szCs w:val="22"/>
              </w:rPr>
              <w:t xml:space="preserve">Wyjaśnienie: </w:t>
            </w:r>
            <w:r w:rsidR="00F026E1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Portal DOM będzie </w:t>
            </w:r>
            <w:r w:rsidR="003B2389" w:rsidRPr="3B84966C">
              <w:rPr>
                <w:rFonts w:asciiTheme="minorHAnsi" w:hAnsiTheme="minorHAnsi" w:cstheme="minorBidi"/>
                <w:sz w:val="22"/>
                <w:szCs w:val="22"/>
              </w:rPr>
              <w:t>udostępniał gotowe narzędzi</w:t>
            </w:r>
            <w:r w:rsidR="007336CE" w:rsidRPr="3B84966C">
              <w:rPr>
                <w:rFonts w:asciiTheme="minorHAnsi" w:hAnsiTheme="minorHAnsi" w:cstheme="minorBidi"/>
                <w:sz w:val="22"/>
                <w:szCs w:val="22"/>
              </w:rPr>
              <w:t>a</w:t>
            </w:r>
            <w:r w:rsidR="00E5763F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00323CB6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do </w:t>
            </w:r>
            <w:r w:rsidR="00FC4000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przeglądania i </w:t>
            </w:r>
            <w:r w:rsidR="00323CB6" w:rsidRPr="3B84966C">
              <w:rPr>
                <w:rFonts w:asciiTheme="minorHAnsi" w:hAnsiTheme="minorHAnsi" w:cstheme="minorBidi"/>
                <w:sz w:val="22"/>
                <w:szCs w:val="22"/>
              </w:rPr>
              <w:t>analizy gromadzonych danych</w:t>
            </w:r>
            <w:r w:rsidR="00C6101F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 (</w:t>
            </w:r>
            <w:r w:rsidR="00D82CE9" w:rsidRPr="3B84966C">
              <w:rPr>
                <w:rFonts w:asciiTheme="minorHAnsi" w:hAnsiTheme="minorHAnsi" w:cstheme="minorBidi"/>
                <w:sz w:val="22"/>
                <w:szCs w:val="22"/>
              </w:rPr>
              <w:t>w tym analizy trendów</w:t>
            </w:r>
            <w:r w:rsidR="0045663B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) w zakresie </w:t>
            </w:r>
            <w:r w:rsidR="00E025C7" w:rsidRPr="3B84966C">
              <w:rPr>
                <w:rFonts w:asciiTheme="minorHAnsi" w:hAnsiTheme="minorHAnsi" w:cstheme="minorBidi"/>
                <w:sz w:val="22"/>
                <w:szCs w:val="22"/>
              </w:rPr>
              <w:t>danych</w:t>
            </w:r>
            <w:r w:rsidR="00380391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="0045663B" w:rsidRPr="3B84966C">
              <w:rPr>
                <w:rFonts w:asciiTheme="minorHAnsi" w:hAnsiTheme="minorHAnsi" w:cstheme="minorBidi"/>
                <w:sz w:val="22"/>
                <w:szCs w:val="22"/>
              </w:rPr>
              <w:t>dotyczących</w:t>
            </w:r>
            <w:r w:rsidR="00380391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 rynku pierwotn</w:t>
            </w:r>
            <w:r w:rsidR="0045663B" w:rsidRPr="3B84966C">
              <w:rPr>
                <w:rFonts w:asciiTheme="minorHAnsi" w:hAnsiTheme="minorHAnsi" w:cstheme="minorBidi"/>
                <w:sz w:val="22"/>
                <w:szCs w:val="22"/>
              </w:rPr>
              <w:t>ego</w:t>
            </w:r>
            <w:r w:rsidR="00380391" w:rsidRPr="3B84966C">
              <w:rPr>
                <w:rFonts w:asciiTheme="minorHAnsi" w:hAnsiTheme="minorHAnsi" w:cstheme="minorBidi"/>
                <w:sz w:val="22"/>
                <w:szCs w:val="22"/>
              </w:rPr>
              <w:t xml:space="preserve">, </w:t>
            </w:r>
            <w:r w:rsidR="00380391" w:rsidRPr="3B84966C">
              <w:rPr>
                <w:rFonts w:asciiTheme="minorHAnsi" w:hAnsiTheme="minorHAnsi" w:cstheme="minorBidi"/>
                <w:b/>
                <w:sz w:val="22"/>
                <w:szCs w:val="22"/>
              </w:rPr>
              <w:t>w tym rynku deweloperski</w:t>
            </w:r>
            <w:r w:rsidR="0045663B" w:rsidRPr="3B84966C">
              <w:rPr>
                <w:rFonts w:asciiTheme="minorHAnsi" w:hAnsiTheme="minorHAnsi" w:cstheme="minorBidi"/>
                <w:b/>
                <w:sz w:val="22"/>
                <w:szCs w:val="22"/>
              </w:rPr>
              <w:t>ego</w:t>
            </w:r>
            <w:r w:rsidR="00380391" w:rsidRPr="3B84966C">
              <w:rPr>
                <w:rFonts w:asciiTheme="minorHAnsi" w:hAnsiTheme="minorHAnsi" w:cstheme="minorBidi"/>
                <w:b/>
                <w:sz w:val="22"/>
                <w:szCs w:val="22"/>
              </w:rPr>
              <w:t xml:space="preserve">, </w:t>
            </w:r>
            <w:r w:rsidR="003A6FB6" w:rsidRPr="3B84966C">
              <w:rPr>
                <w:rFonts w:asciiTheme="minorHAnsi" w:hAnsiTheme="minorHAnsi" w:cstheme="minorBidi"/>
                <w:sz w:val="22"/>
                <w:szCs w:val="22"/>
              </w:rPr>
              <w:t>oraz rynku wtórn</w:t>
            </w:r>
            <w:r w:rsidR="001A0BD0" w:rsidRPr="3B84966C">
              <w:rPr>
                <w:rFonts w:asciiTheme="minorHAnsi" w:hAnsiTheme="minorHAnsi" w:cstheme="minorBidi"/>
                <w:sz w:val="22"/>
                <w:szCs w:val="22"/>
              </w:rPr>
              <w:t>ego</w:t>
            </w:r>
            <w:r w:rsidR="003A6FB6" w:rsidRPr="3B84966C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="00312811">
              <w:br/>
            </w:r>
            <w:r w:rsidR="00312811"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A71635" w:rsidRPr="00A06425" w14:paraId="1FF1DF16" w14:textId="77777777" w:rsidTr="009278F4">
        <w:tc>
          <w:tcPr>
            <w:tcW w:w="11902" w:type="dxa"/>
            <w:gridSpan w:val="5"/>
          </w:tcPr>
          <w:p w14:paraId="003E9816" w14:textId="058963BA" w:rsidR="00A71635" w:rsidRPr="00595108" w:rsidRDefault="00A71635" w:rsidP="002B45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Uwagi szczegółowe:</w:t>
            </w:r>
          </w:p>
        </w:tc>
        <w:tc>
          <w:tcPr>
            <w:tcW w:w="3486" w:type="dxa"/>
          </w:tcPr>
          <w:p w14:paraId="7C5D3CC9" w14:textId="77777777" w:rsidR="00A71635" w:rsidRPr="00595108" w:rsidRDefault="00A71635" w:rsidP="002B45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7F0DD35" w14:textId="77777777" w:rsidTr="009278F4">
        <w:tc>
          <w:tcPr>
            <w:tcW w:w="562" w:type="dxa"/>
          </w:tcPr>
          <w:p w14:paraId="62812087" w14:textId="0571F494" w:rsidR="00A06425" w:rsidRPr="00595108" w:rsidRDefault="002B455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0EC9BF3A" w14:textId="77C2D662" w:rsidR="00A06425" w:rsidRPr="00595108" w:rsidRDefault="00CB0768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843" w:type="dxa"/>
          </w:tcPr>
          <w:p w14:paraId="6CB9C1ED" w14:textId="4BF7AD7D" w:rsidR="00A06425" w:rsidRPr="00595108" w:rsidRDefault="00CB0768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1.1 „Identyfikacja problemu i potrzeb”, 1.2 „Opis stanu obecnego”</w:t>
            </w:r>
          </w:p>
        </w:tc>
        <w:tc>
          <w:tcPr>
            <w:tcW w:w="4678" w:type="dxa"/>
          </w:tcPr>
          <w:p w14:paraId="09A7EA25" w14:textId="77777777" w:rsidR="00A06425" w:rsidRPr="00595108" w:rsidRDefault="00CB0768" w:rsidP="00160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Stwierdzenia „Przede wszystkim aktualnie nie ma jednego powszechnego punktu dostępu do aktualnych i zweryfikowanych informacji o realnych (transakcyjnych) cenach lokali mieszkalnych i domów jednorodzinnych na rynku pierwotnym i wtórnym” są nieprawdziwe i wprowadzają odbiorców w błąd. </w:t>
            </w:r>
          </w:p>
          <w:p w14:paraId="6540431C" w14:textId="77777777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Prowadzony przez starostę, na podstawie art. 7d pkt 1 lit. b ustawy z dnia 17 maja 1989 r. Prawo geodezyjne i kartograficzne, rejestr cen 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nieruchomości (dalej RCN) gromadzi informacje o transakcjach na rynku nieruchomości. W wyniku nowelizacji ustawy Prawo geodezyjne i kartograficzne od 13 lutego 2026 r. dane RCN są bezpłatne i powszechnie dostępne. Obywatele i przedsiębiorcy mogą bez przeszkód pozyskiwać i wykorzystywać dane RCN. Pozyskanie może odbywać się bezpośrednio od organu prowadzącego RCN lub z wykorzystaniem usług sieciowych udostępniających dane RCN, przygotowanych przez Główny Urząd Geodezji i Kartografii. Wspomniane usługi sieciowe obejmują obszar całego kraju i są aktualizowane na podstawie plików GML udostępnianych przez starostów. Wspomniane pliki GML są aktualizowane codziennie lub z kilkudniowym opóźnieniem. Korzystanie z usług sieciowych nie wymaga wiedzy specjalistycznej ani specjalistycznego oprogramowania. Można z nich skorzystać np. poprzez </w:t>
            </w:r>
            <w:proofErr w:type="spellStart"/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geoportal</w:t>
            </w:r>
            <w:proofErr w:type="spellEnd"/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krajowy dostępny pod adresem www.geoportal.gov.pl.  </w:t>
            </w:r>
          </w:p>
          <w:p w14:paraId="6D5B882C" w14:textId="0C46CB57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W ramach serwisu www.geoportal.gov.pl dostępny także moduł dedykowany RCN </w:t>
            </w:r>
            <w:hyperlink r:id="rId10" w:history="1">
              <w:r w:rsidRPr="00595108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https://mapy.geoportal.gov.pl/imapnext/imap/index.html?moduleId=modulRCN</w:t>
              </w:r>
            </w:hyperlink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B83FB9D" w14:textId="77777777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8AB26" w14:textId="33EDA522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Szczegóły dostępne są pod adresem: </w:t>
            </w:r>
            <w:hyperlink r:id="rId11" w:history="1">
              <w:r w:rsidRPr="00595108">
                <w:rPr>
                  <w:rStyle w:val="Hipercze"/>
                  <w:rFonts w:asciiTheme="minorHAnsi" w:hAnsiTheme="minorHAnsi" w:cstheme="minorHAnsi"/>
                  <w:sz w:val="22"/>
                  <w:szCs w:val="22"/>
                </w:rPr>
                <w:t>https://www.geoportal.gov.pl/pl/dane/rejestr-cen-nieruchomosci-rcn/</w:t>
              </w:r>
            </w:hyperlink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D51813B" w14:textId="77381DE4" w:rsidR="00824E97" w:rsidRPr="00595108" w:rsidRDefault="00824E97" w:rsidP="0016042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AD79013" w14:textId="0A84D778" w:rsidR="00924D3F" w:rsidRPr="00595108" w:rsidRDefault="00824E97" w:rsidP="00160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Usunięcie wskazanych zapisów.</w:t>
            </w:r>
          </w:p>
        </w:tc>
        <w:tc>
          <w:tcPr>
            <w:tcW w:w="3486" w:type="dxa"/>
          </w:tcPr>
          <w:p w14:paraId="2ABEE200" w14:textId="758B6AF3" w:rsidR="00A06425" w:rsidRPr="00595108" w:rsidRDefault="002C755B" w:rsidP="00435C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Zaktualizowano opis poprzez wskazanie, że</w:t>
            </w:r>
            <w:r w:rsidRPr="004933F2">
              <w:rPr>
                <w:rFonts w:asciiTheme="minorHAnsi" w:hAnsiTheme="minorHAnsi" w:cstheme="minorHAnsi"/>
                <w:sz w:val="22"/>
                <w:szCs w:val="22"/>
              </w:rPr>
              <w:t xml:space="preserve"> dane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Portalu DOM będą obejmować, również dane z rynku pierwotnego </w:t>
            </w:r>
            <w:r w:rsidRPr="001A0BD0">
              <w:rPr>
                <w:rFonts w:asciiTheme="minorHAnsi" w:hAnsiTheme="minorHAnsi" w:cstheme="minorHAnsi"/>
                <w:b/>
                <w:sz w:val="22"/>
                <w:szCs w:val="22"/>
              </w:rPr>
              <w:t>w zakresie cen z umów deweloperskich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A06425" w:rsidRPr="00A06425" w14:paraId="63E2AFD6" w14:textId="77777777" w:rsidTr="009278F4">
        <w:tc>
          <w:tcPr>
            <w:tcW w:w="562" w:type="dxa"/>
          </w:tcPr>
          <w:p w14:paraId="6E6337D5" w14:textId="158B46CE" w:rsidR="00A06425" w:rsidRPr="00595108" w:rsidRDefault="002B455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6F61D0B3" w14:textId="481DF801" w:rsidR="00A06425" w:rsidRPr="00595108" w:rsidRDefault="00160420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843" w:type="dxa"/>
          </w:tcPr>
          <w:p w14:paraId="169059A4" w14:textId="39776EC7" w:rsidR="00A06425" w:rsidRPr="00595108" w:rsidRDefault="00160420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1.1 „Identyfikacja problemu i potrzeb”, 1.2 „Opis stanu obecnego</w:t>
            </w:r>
          </w:p>
        </w:tc>
        <w:tc>
          <w:tcPr>
            <w:tcW w:w="4678" w:type="dxa"/>
          </w:tcPr>
          <w:p w14:paraId="1913CA5D" w14:textId="77777777" w:rsidR="00A06425" w:rsidRPr="00595108" w:rsidRDefault="00E16B3F" w:rsidP="00E16B3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Stwierdzenia </w:t>
            </w:r>
            <w:r w:rsidRPr="005951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„Występujące dane dotyczą albo cen ofertowych albo cen transakcyjnych publikowanych z opóźnieniem (w przypadku rynku pierwotnego opóźnienie to może sięgać 2-3 lata) Podmiotom gospodarczym utrudnia to planowanie i parametryzowanie inwestycji mieszkaniowych, zaś nabywcom czy sprzedającym utrudnia orientację w realnych </w:t>
            </w:r>
            <w:r w:rsidRPr="005951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cenach rynkowych”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r w:rsidRPr="0059510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„Występujące dane dotyczą cen ofertowych lub są publikowane dla największych miast albo z dużym opóźnieniem. Przykładowo dane dotyczące cen transakcyjnych pochodzące z RCN, obejmują dane z umów przeniesienia praw własności (zawieranych zwykle 2-3 lata po zawarciu umowy deweloperskiej), a więc nie dotyczą aktualnych cen transakcyjnych na rynku pierwotnym”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są nieprawdziwe i wprowadzają odbiorców w błąd.</w:t>
            </w:r>
          </w:p>
          <w:p w14:paraId="6D5F0D74" w14:textId="77777777" w:rsidR="00824E97" w:rsidRPr="00595108" w:rsidRDefault="00824E97" w:rsidP="00E16B3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D0C8F6" w14:textId="77777777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Dane w rejestrach publicznych, </w:t>
            </w:r>
            <w:proofErr w:type="spellStart"/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tj</w:t>
            </w:r>
            <w:proofErr w:type="spellEnd"/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RCN i ewidencji gruntów i budynków, są wykazywane w bazach danych zgodnie z obowiązującymi przepisami prawa i nie można w tych sprawach mówić o „opóźnieniu”. </w:t>
            </w:r>
          </w:p>
          <w:p w14:paraId="3CBA5863" w14:textId="77777777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Umowa „deweloperska” jest swego rodzaju umową przedwstępną, zawieraną między deweloperem a nabywcą lokalu mieszkalnego. Jest to główny dokument wiążący strony, w którym deweloper zobowiązuje się do wybudowania i oddania do użytkowania lokalu mieszkalnego, o konkretnych, zawartych w tej umowie parametrach, natomiast nabywca zobowiązuje się m. in. do zapłaty konkretnej kwoty na rzecz dewelopera. </w:t>
            </w:r>
          </w:p>
          <w:p w14:paraId="53DDB1B2" w14:textId="2EBCADB2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Natomiast umowa przeniesienia własności jest ostatecznym dokumentem ustanawiającym odrębną własność lokalu i jest zawierana</w:t>
            </w:r>
            <w:r w:rsidR="006562B6" w:rsidRPr="0059510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kiedy budynek i sam lokal są już wybudowane i oddane do użytkowania. </w:t>
            </w:r>
          </w:p>
          <w:p w14:paraId="7AF6CA6F" w14:textId="77777777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Zgodnie z art. 7 ust. 2 ustawy z dnia 24 czerwca 1994 r. o własności lokali przeniesienie własności lokalu następuje dopiero z chwilą wpisu w księdze wieczystej. </w:t>
            </w:r>
          </w:p>
          <w:p w14:paraId="3ACBB0BC" w14:textId="6ACFDB39" w:rsidR="00824E97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W rejestrach publicznych rejestrowane są dokumenty stanowiące faktyczny obrót nieruchomością</w:t>
            </w:r>
            <w:r w:rsidR="006562B6" w:rsidRPr="0059510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a więc w tym przypadku umowy 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przenoszące własność</w:t>
            </w:r>
            <w:r w:rsidR="00E40009">
              <w:rPr>
                <w:rFonts w:asciiTheme="minorHAnsi" w:hAnsiTheme="minorHAnsi" w:cstheme="minorHAnsi"/>
                <w:sz w:val="22"/>
                <w:szCs w:val="22"/>
              </w:rPr>
              <w:t xml:space="preserve"> z faktyczną ceną transakcyjną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. Zatem nie można mówić o „opóźnieniu” w rejestracji transakcji</w:t>
            </w:r>
            <w:r w:rsidR="006562B6" w:rsidRPr="0059510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gdyż rejestracja umów przeniesienia własności a nie umów deweloperskich jest wynikiem obowiązującego porządku prawnego.</w:t>
            </w:r>
          </w:p>
        </w:tc>
        <w:tc>
          <w:tcPr>
            <w:tcW w:w="3685" w:type="dxa"/>
          </w:tcPr>
          <w:p w14:paraId="3347F311" w14:textId="3B0465CF" w:rsidR="00D41CF3" w:rsidRPr="00595108" w:rsidRDefault="00824E97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Usunięcie wskazanych zapisów.</w:t>
            </w:r>
          </w:p>
        </w:tc>
        <w:tc>
          <w:tcPr>
            <w:tcW w:w="3486" w:type="dxa"/>
          </w:tcPr>
          <w:p w14:paraId="6A4493B0" w14:textId="5C88CA3C" w:rsidR="00A06425" w:rsidRPr="00595108" w:rsidRDefault="004243E0" w:rsidP="004F7D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Zaktualizowano opis poprzez wskazanie, że</w:t>
            </w:r>
            <w:r w:rsidRPr="004933F2">
              <w:rPr>
                <w:rFonts w:asciiTheme="minorHAnsi" w:hAnsiTheme="minorHAnsi" w:cstheme="minorHAnsi"/>
                <w:sz w:val="22"/>
                <w:szCs w:val="22"/>
              </w:rPr>
              <w:t xml:space="preserve"> dane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Portalu DOM będą obejmować, również dane z rynku pierwotnego </w:t>
            </w:r>
            <w:r w:rsidRPr="004F7D4F">
              <w:rPr>
                <w:rFonts w:asciiTheme="minorHAnsi" w:hAnsiTheme="minorHAnsi" w:cstheme="minorHAnsi"/>
                <w:bCs/>
                <w:sz w:val="22"/>
                <w:szCs w:val="22"/>
              </w:rPr>
              <w:t>w zakresie cen z umów deweloperskich</w:t>
            </w:r>
            <w:r w:rsidR="004F7D4F" w:rsidRPr="004F7D4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które są zawierane zwykle 2-3 lata przed umowami przenoszącymi prawo </w:t>
            </w:r>
            <w:r w:rsidR="004F7D4F" w:rsidRPr="004F7D4F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własności w wykonaniu umów deweloperskich</w:t>
            </w:r>
            <w:r w:rsidR="004F7D4F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C56542" w:rsidRPr="00A06425" w14:paraId="3EC3549B" w14:textId="77777777" w:rsidTr="009278F4">
        <w:tc>
          <w:tcPr>
            <w:tcW w:w="562" w:type="dxa"/>
          </w:tcPr>
          <w:p w14:paraId="0C4FE09C" w14:textId="6A1C3DA9" w:rsidR="00C56542" w:rsidRPr="00595108" w:rsidRDefault="002B455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1134" w:type="dxa"/>
          </w:tcPr>
          <w:p w14:paraId="6F686921" w14:textId="5FC63766" w:rsidR="00C56542" w:rsidRPr="00595108" w:rsidRDefault="00C5654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843" w:type="dxa"/>
          </w:tcPr>
          <w:p w14:paraId="13961A7E" w14:textId="365E3CE8" w:rsidR="00C56542" w:rsidRPr="00595108" w:rsidRDefault="00C56542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1.1 „Identyfikacja problemu i potrzeb”; sekcja w tabeli „zidentyfikowany problem”</w:t>
            </w:r>
          </w:p>
        </w:tc>
        <w:tc>
          <w:tcPr>
            <w:tcW w:w="4678" w:type="dxa"/>
          </w:tcPr>
          <w:p w14:paraId="50CFF297" w14:textId="77777777" w:rsidR="00C56542" w:rsidRPr="00595108" w:rsidRDefault="00C56542" w:rsidP="00C565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W tabeli w sekcji „zidentyfikowany problem” wskazano jako problemy w pozyskaniu informacji o transakcjach: </w:t>
            </w:r>
          </w:p>
          <w:p w14:paraId="217E49DF" w14:textId="4FECF716" w:rsidR="00C56542" w:rsidRPr="00595108" w:rsidRDefault="00C56542" w:rsidP="00C565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„- brak możliwości pozyskiwania informacji o cenach nieruchomości w sposób szybki, intuicyjny i wiarygodny;</w:t>
            </w:r>
          </w:p>
          <w:p w14:paraId="53609892" w14:textId="06AD7FAC" w:rsidR="00C56542" w:rsidRPr="00595108" w:rsidRDefault="00C56542" w:rsidP="00C565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- konieczność ręcznego przeszukiwania danych, co wydłuża czas podejmowania</w:t>
            </w:r>
            <w:r w:rsidR="00824E97"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decyzji o zakupie nieruchomości;</w:t>
            </w:r>
          </w:p>
          <w:p w14:paraId="3B40BDD9" w14:textId="77777777" w:rsidR="00C56542" w:rsidRPr="00595108" w:rsidRDefault="00C56542" w:rsidP="00C565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- trudność w aktualizacji wyceny posiadanej nieruchomości </w:t>
            </w:r>
            <w:r w:rsidR="00824E97" w:rsidRPr="00595108">
              <w:rPr>
                <w:rFonts w:asciiTheme="minorHAnsi" w:hAnsiTheme="minorHAnsi" w:cstheme="minorHAnsi"/>
                <w:sz w:val="22"/>
                <w:szCs w:val="22"/>
              </w:rPr>
              <w:t>np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. na potrzeby zawarcia umowy ubezpieczenia;”</w:t>
            </w:r>
            <w:r w:rsidR="00824E97"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. Stwierdzenia te nie mają potwierdzenia w rzeczywistości. </w:t>
            </w:r>
          </w:p>
          <w:p w14:paraId="0082FEDD" w14:textId="79F5511E" w:rsidR="003D0CBC" w:rsidRPr="00595108" w:rsidRDefault="003D0CBC" w:rsidP="00C565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Jak wyjaśniono w uwadze w pkt 1 są przygotowane i udostępnione do korzystania rozwiązania pozwalające w prosty, szybki i intuicyjny sposób pozyskać dane o cenach nieruchomości. co więcej w celu pozyskania tych informacji nie jest konieczne posiadanie specjalistycznego oprogramowania czy specjalistycznej wiedzy. Dodatkowo dane te są powszechnie dostępne dla każdego obywatela i przedsiębiorcy bezpośrednio ze źródła, w tym bez konieczności zakładania konta i logowania się do serwisu.</w:t>
            </w:r>
          </w:p>
        </w:tc>
        <w:tc>
          <w:tcPr>
            <w:tcW w:w="3685" w:type="dxa"/>
          </w:tcPr>
          <w:p w14:paraId="3C780268" w14:textId="13DB5E7A" w:rsidR="00C56542" w:rsidRPr="00595108" w:rsidRDefault="003D0CBC" w:rsidP="00824E9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Usunięcie wskazanych zapisów.</w:t>
            </w:r>
          </w:p>
        </w:tc>
        <w:tc>
          <w:tcPr>
            <w:tcW w:w="3486" w:type="dxa"/>
          </w:tcPr>
          <w:p w14:paraId="63012A5E" w14:textId="62798AFD" w:rsidR="00C56542" w:rsidRPr="00595108" w:rsidRDefault="00EE453D" w:rsidP="00BF6EF9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Zaktualizowano opis poprzez wskazanie, że</w:t>
            </w:r>
            <w:r w:rsidRPr="004933F2">
              <w:rPr>
                <w:rFonts w:asciiTheme="minorHAnsi" w:hAnsiTheme="minorHAnsi" w:cstheme="minorHAnsi"/>
                <w:sz w:val="22"/>
                <w:szCs w:val="22"/>
              </w:rPr>
              <w:t xml:space="preserve"> dane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Portalu DOM będą obejmować, również dane z rynku pierwotnego </w:t>
            </w:r>
            <w:r w:rsidRPr="001A0BD0">
              <w:rPr>
                <w:rFonts w:asciiTheme="minorHAnsi" w:hAnsiTheme="minorHAnsi" w:cstheme="minorHAnsi"/>
                <w:b/>
                <w:sz w:val="22"/>
                <w:szCs w:val="22"/>
              </w:rPr>
              <w:t>w zakresie cen z umów deweloperskich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BF6EF9" w:rsidRPr="604D6E0F">
              <w:rPr>
                <w:rFonts w:asciiTheme="minorHAnsi" w:hAnsiTheme="minorHAnsi" w:cstheme="minorBidi"/>
                <w:b/>
                <w:sz w:val="22"/>
                <w:szCs w:val="22"/>
              </w:rPr>
              <w:t xml:space="preserve">Wyjaśnienie: </w:t>
            </w:r>
            <w:r w:rsidR="00BF6EF9" w:rsidRPr="604D6E0F">
              <w:rPr>
                <w:rFonts w:asciiTheme="minorHAnsi" w:hAnsiTheme="minorHAnsi" w:cstheme="minorBidi"/>
                <w:sz w:val="22"/>
                <w:szCs w:val="22"/>
              </w:rPr>
              <w:t xml:space="preserve">Portal DOM będzie udostępniał gotowe narzędzia do przeglądania i analizy gromadzonych danych (w tym analizy trendów) w zakresie danych dotyczących rynku pierwotnego, </w:t>
            </w:r>
            <w:r w:rsidR="00BF6EF9" w:rsidRPr="604D6E0F">
              <w:rPr>
                <w:rFonts w:asciiTheme="minorHAnsi" w:hAnsiTheme="minorHAnsi" w:cstheme="minorBidi"/>
                <w:b/>
                <w:sz w:val="22"/>
                <w:szCs w:val="22"/>
              </w:rPr>
              <w:t xml:space="preserve">w tym rynku deweloperskiego, </w:t>
            </w:r>
            <w:r w:rsidR="00BF6EF9" w:rsidRPr="604D6E0F">
              <w:rPr>
                <w:rFonts w:asciiTheme="minorHAnsi" w:hAnsiTheme="minorHAnsi" w:cstheme="minorBidi"/>
                <w:sz w:val="22"/>
                <w:szCs w:val="22"/>
              </w:rPr>
              <w:t>oraz rynku wtórnego.</w:t>
            </w:r>
            <w:r w:rsidR="00BF6EF9">
              <w:br/>
            </w:r>
          </w:p>
        </w:tc>
      </w:tr>
      <w:tr w:rsidR="003D0CBC" w:rsidRPr="00A06425" w14:paraId="7F90823E" w14:textId="77777777" w:rsidTr="009278F4">
        <w:tc>
          <w:tcPr>
            <w:tcW w:w="562" w:type="dxa"/>
          </w:tcPr>
          <w:p w14:paraId="0F73C23F" w14:textId="537D17ED" w:rsidR="003D0CBC" w:rsidRPr="00595108" w:rsidRDefault="002B455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6EFB178" w14:textId="382BB6D4" w:rsidR="003D0CBC" w:rsidRPr="00595108" w:rsidRDefault="003D0CBC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843" w:type="dxa"/>
          </w:tcPr>
          <w:p w14:paraId="1478267B" w14:textId="4C88281F" w:rsidR="003D0CBC" w:rsidRPr="00595108" w:rsidRDefault="003D0CBC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1.2 Opis stanu obecnego</w:t>
            </w:r>
          </w:p>
        </w:tc>
        <w:tc>
          <w:tcPr>
            <w:tcW w:w="4678" w:type="dxa"/>
          </w:tcPr>
          <w:p w14:paraId="648D0041" w14:textId="77777777" w:rsidR="003D0CBC" w:rsidRPr="00595108" w:rsidRDefault="003D0CBC" w:rsidP="006713D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Stwierdzenie „Obecnie przekazywane do Ewidencji dane nie pozwalają na określenie realnych, wartości nieruchomości.”</w:t>
            </w:r>
            <w:r w:rsidR="005D7729"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 nie przedstawia faktycznego, mającego oparcie w przepisach sposobu wyceny nieruchomości.</w:t>
            </w:r>
          </w:p>
          <w:p w14:paraId="60690703" w14:textId="4AB2196A" w:rsidR="005D7729" w:rsidRPr="00595108" w:rsidRDefault="005D7729" w:rsidP="006713D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Zgodnie z art. 151 ust. 5 ustawy o gospodarce nieruchomościami określenie wartości rynkowej 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nieruchomości jest zadaniem rzeczoznawcy majątkowego. </w:t>
            </w:r>
            <w:r w:rsidR="003F6955" w:rsidRPr="00595108">
              <w:rPr>
                <w:rFonts w:asciiTheme="minorHAnsi" w:hAnsiTheme="minorHAnsi" w:cstheme="minorHAnsi"/>
                <w:sz w:val="22"/>
                <w:szCs w:val="22"/>
              </w:rPr>
              <w:t>Podstawowym źródłem danych do określenia przez rzeczoznawcę wartości rynkowej nieruchomości jest RCN prowadzony przez starostę.</w:t>
            </w:r>
          </w:p>
        </w:tc>
        <w:tc>
          <w:tcPr>
            <w:tcW w:w="3685" w:type="dxa"/>
          </w:tcPr>
          <w:p w14:paraId="383EDF1F" w14:textId="77777777" w:rsidR="003D0CBC" w:rsidRPr="00595108" w:rsidRDefault="003D0CBC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5F028AB7" w14:textId="51FBBBD6" w:rsidR="003D0CBC" w:rsidRPr="003B0201" w:rsidRDefault="006C4426" w:rsidP="007744D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Zaktualizowano opis stanu obecnego </w:t>
            </w:r>
            <w:r w:rsidR="00462895">
              <w:rPr>
                <w:rFonts w:asciiTheme="minorHAnsi" w:hAnsiTheme="minorHAnsi" w:cstheme="minorHAnsi"/>
                <w:sz w:val="22"/>
                <w:szCs w:val="22"/>
              </w:rPr>
              <w:t>pop</w:t>
            </w:r>
            <w:r w:rsidR="007C6142">
              <w:rPr>
                <w:rFonts w:asciiTheme="minorHAnsi" w:hAnsiTheme="minorHAnsi" w:cstheme="minorHAnsi"/>
                <w:sz w:val="22"/>
                <w:szCs w:val="22"/>
              </w:rPr>
              <w:t xml:space="preserve">rzez zmianę przytoczonego </w:t>
            </w:r>
            <w:r w:rsidR="00C51F7A">
              <w:rPr>
                <w:rFonts w:asciiTheme="minorHAnsi" w:hAnsiTheme="minorHAnsi" w:cstheme="minorHAnsi"/>
                <w:sz w:val="22"/>
                <w:szCs w:val="22"/>
              </w:rPr>
              <w:t xml:space="preserve">w uwadze </w:t>
            </w:r>
            <w:r w:rsidR="007C6142">
              <w:rPr>
                <w:rFonts w:asciiTheme="minorHAnsi" w:hAnsiTheme="minorHAnsi" w:cstheme="minorHAnsi"/>
                <w:sz w:val="22"/>
                <w:szCs w:val="22"/>
              </w:rPr>
              <w:t xml:space="preserve">zdania na: </w:t>
            </w:r>
            <w:r w:rsidR="0070486C"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="0070486C" w:rsidRPr="004933F2">
              <w:rPr>
                <w:rFonts w:asciiTheme="minorHAnsi" w:hAnsiTheme="minorHAnsi" w:cstheme="minorHAnsi"/>
                <w:sz w:val="22"/>
                <w:szCs w:val="22"/>
              </w:rPr>
              <w:t xml:space="preserve">Obecnie przekazywane do Ewidencji DFG dane nie pozwalają na określenie aktualnych cen nieruchomości na rynku </w:t>
            </w:r>
            <w:r w:rsidR="0070486C" w:rsidRPr="004933F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deweloperskim</w:t>
            </w:r>
            <w:r w:rsidR="004933F2" w:rsidRPr="004933F2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="007744D3" w:rsidRPr="004933F2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774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="000F1E9B" w:rsidRPr="009278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Wyjaśnienie</w:t>
            </w:r>
            <w:r w:rsidR="00622B4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AB6800">
              <w:rPr>
                <w:rFonts w:asciiTheme="minorHAnsi" w:hAnsiTheme="minorHAnsi" w:cstheme="minorHAnsi"/>
                <w:sz w:val="22"/>
                <w:szCs w:val="22"/>
              </w:rPr>
              <w:t>Przytoczone</w:t>
            </w:r>
            <w:r w:rsidR="00C51F7A">
              <w:rPr>
                <w:rFonts w:asciiTheme="minorHAnsi" w:hAnsiTheme="minorHAnsi" w:cstheme="minorHAnsi"/>
                <w:sz w:val="22"/>
                <w:szCs w:val="22"/>
              </w:rPr>
              <w:t xml:space="preserve"> w uwadze</w:t>
            </w:r>
            <w:r w:rsidR="00AB6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11A25">
              <w:rPr>
                <w:rFonts w:asciiTheme="minorHAnsi" w:hAnsiTheme="minorHAnsi" w:cstheme="minorHAnsi"/>
                <w:sz w:val="22"/>
                <w:szCs w:val="22"/>
              </w:rPr>
              <w:t xml:space="preserve">zdanie odnosi się do </w:t>
            </w:r>
            <w:r w:rsidR="00D8424A">
              <w:rPr>
                <w:rFonts w:asciiTheme="minorHAnsi" w:hAnsiTheme="minorHAnsi" w:cstheme="minorHAnsi"/>
                <w:sz w:val="22"/>
                <w:szCs w:val="22"/>
              </w:rPr>
              <w:t>danych przekazywanych do Ewidencji Deweloperskiego Funduszu Gwarancyjnego</w:t>
            </w:r>
            <w:r w:rsidR="007E60F5">
              <w:rPr>
                <w:rFonts w:asciiTheme="minorHAnsi" w:hAnsiTheme="minorHAnsi" w:cstheme="minorHAnsi"/>
                <w:sz w:val="22"/>
                <w:szCs w:val="22"/>
              </w:rPr>
              <w:t xml:space="preserve"> (Ewiden</w:t>
            </w:r>
            <w:r w:rsidR="006B125E">
              <w:rPr>
                <w:rFonts w:asciiTheme="minorHAnsi" w:hAnsiTheme="minorHAnsi" w:cstheme="minorHAnsi"/>
                <w:sz w:val="22"/>
                <w:szCs w:val="22"/>
              </w:rPr>
              <w:t>cji DFG)</w:t>
            </w:r>
            <w:r w:rsidR="002A55E5">
              <w:rPr>
                <w:rFonts w:asciiTheme="minorHAnsi" w:hAnsiTheme="minorHAnsi" w:cstheme="minorHAnsi"/>
                <w:sz w:val="22"/>
                <w:szCs w:val="22"/>
              </w:rPr>
              <w:t xml:space="preserve">, które obecnie nie obejmują </w:t>
            </w:r>
            <w:r w:rsidR="00AA28F3">
              <w:rPr>
                <w:rFonts w:asciiTheme="minorHAnsi" w:hAnsiTheme="minorHAnsi" w:cstheme="minorHAnsi"/>
                <w:sz w:val="22"/>
                <w:szCs w:val="22"/>
              </w:rPr>
              <w:t xml:space="preserve">informacji pozwalających na </w:t>
            </w:r>
            <w:r w:rsidR="00173B96">
              <w:rPr>
                <w:rFonts w:asciiTheme="minorHAnsi" w:hAnsiTheme="minorHAnsi" w:cstheme="minorHAnsi"/>
                <w:sz w:val="22"/>
                <w:szCs w:val="22"/>
              </w:rPr>
              <w:t xml:space="preserve">określenie </w:t>
            </w:r>
            <w:r w:rsidR="004B6A52">
              <w:rPr>
                <w:rFonts w:asciiTheme="minorHAnsi" w:hAnsiTheme="minorHAnsi" w:cstheme="minorHAnsi"/>
                <w:sz w:val="22"/>
                <w:szCs w:val="22"/>
              </w:rPr>
              <w:t xml:space="preserve">cen nieruchomości </w:t>
            </w:r>
            <w:r w:rsidR="00D114ED">
              <w:rPr>
                <w:rFonts w:asciiTheme="minorHAnsi" w:hAnsiTheme="minorHAnsi" w:cstheme="minorHAnsi"/>
                <w:sz w:val="22"/>
                <w:szCs w:val="22"/>
              </w:rPr>
              <w:t xml:space="preserve">o określonych parametrach </w:t>
            </w:r>
            <w:r w:rsidR="00B10C5A">
              <w:rPr>
                <w:rFonts w:asciiTheme="minorHAnsi" w:hAnsiTheme="minorHAnsi" w:cstheme="minorHAnsi"/>
                <w:sz w:val="22"/>
                <w:szCs w:val="22"/>
              </w:rPr>
              <w:t>(takich jak na przykład metraż czy liczba pokoi).</w:t>
            </w:r>
            <w:r w:rsidR="0058453B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A26AF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58453B">
              <w:rPr>
                <w:rFonts w:asciiTheme="minorHAnsi" w:hAnsiTheme="minorHAnsi" w:cstheme="minorHAnsi"/>
                <w:sz w:val="22"/>
                <w:szCs w:val="22"/>
              </w:rPr>
              <w:t xml:space="preserve">Zmiany w tym zakresie zostały przewidziane w </w:t>
            </w:r>
            <w:r w:rsidR="000C4BEC">
              <w:rPr>
                <w:rFonts w:asciiTheme="minorHAnsi" w:hAnsiTheme="minorHAnsi" w:cstheme="minorHAnsi"/>
                <w:sz w:val="22"/>
                <w:szCs w:val="22"/>
              </w:rPr>
              <w:t>ustawie wprowadzającej Portal DOM (</w:t>
            </w:r>
            <w:r w:rsidR="004F7F4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6B42AD" w:rsidRPr="006B42AD">
              <w:rPr>
                <w:rFonts w:asciiTheme="minorHAnsi" w:hAnsiTheme="minorHAnsi" w:cstheme="minorHAnsi"/>
                <w:sz w:val="22"/>
                <w:szCs w:val="22"/>
              </w:rPr>
              <w:t>stawa z dnia 17 października 2025 r. o zmianie ustawy o ochronie praw nabywcy lokalu mieszkalnego lub domu jednorodzinnego oraz Deweloperskim Funduszu Gwarancyjnym oraz niektórych innych ustaw</w:t>
            </w:r>
            <w:r w:rsidR="004F7F4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86431D">
              <w:rPr>
                <w:rFonts w:asciiTheme="minorHAnsi" w:hAnsiTheme="minorHAnsi" w:cstheme="minorHAnsi"/>
                <w:sz w:val="22"/>
                <w:szCs w:val="22"/>
              </w:rPr>
              <w:t xml:space="preserve"> i zostaną </w:t>
            </w:r>
            <w:r w:rsidR="004B3766">
              <w:rPr>
                <w:rFonts w:asciiTheme="minorHAnsi" w:hAnsiTheme="minorHAnsi" w:cstheme="minorHAnsi"/>
                <w:sz w:val="22"/>
                <w:szCs w:val="22"/>
              </w:rPr>
              <w:t xml:space="preserve">wprowadzone </w:t>
            </w:r>
            <w:r w:rsidR="00274CDB">
              <w:rPr>
                <w:rFonts w:asciiTheme="minorHAnsi" w:hAnsiTheme="minorHAnsi" w:cstheme="minorHAnsi"/>
                <w:sz w:val="22"/>
                <w:szCs w:val="22"/>
              </w:rPr>
              <w:t xml:space="preserve">w wyniku prac nad </w:t>
            </w:r>
            <w:r w:rsidR="0041361B">
              <w:rPr>
                <w:rFonts w:asciiTheme="minorHAnsi" w:hAnsiTheme="minorHAnsi" w:cstheme="minorHAnsi"/>
                <w:sz w:val="22"/>
                <w:szCs w:val="22"/>
              </w:rPr>
              <w:t xml:space="preserve">dostosowaniem Ewidencji DFG i </w:t>
            </w:r>
            <w:r w:rsidR="006B1C7B">
              <w:rPr>
                <w:rFonts w:asciiTheme="minorHAnsi" w:hAnsiTheme="minorHAnsi" w:cstheme="minorHAnsi"/>
                <w:sz w:val="22"/>
                <w:szCs w:val="22"/>
              </w:rPr>
              <w:t>uruchomieniem Portalu DOM.</w:t>
            </w:r>
            <w:r w:rsidR="003B0201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727917" w:rsidRPr="00A06425" w14:paraId="14704A16" w14:textId="77777777" w:rsidTr="009278F4">
        <w:tc>
          <w:tcPr>
            <w:tcW w:w="562" w:type="dxa"/>
          </w:tcPr>
          <w:p w14:paraId="1886D1BA" w14:textId="3CB97EB8" w:rsidR="00727917" w:rsidRPr="00595108" w:rsidRDefault="002B455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134" w:type="dxa"/>
          </w:tcPr>
          <w:p w14:paraId="0728825F" w14:textId="0581253C" w:rsidR="00727917" w:rsidRPr="00595108" w:rsidRDefault="00E424AC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843" w:type="dxa"/>
          </w:tcPr>
          <w:p w14:paraId="381E3A06" w14:textId="0C9A1714" w:rsidR="00727917" w:rsidRPr="00595108" w:rsidRDefault="00727917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2.4. Produkty końcowe przedsięwzięcia</w:t>
            </w:r>
          </w:p>
        </w:tc>
        <w:tc>
          <w:tcPr>
            <w:tcW w:w="4678" w:type="dxa"/>
          </w:tcPr>
          <w:p w14:paraId="185C254F" w14:textId="4F832DFC" w:rsidR="00727917" w:rsidRPr="00595108" w:rsidRDefault="00727917" w:rsidP="0072791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Omyłka pisarska w dacie przy: Raport z inicjalnego testu prywatności Portalu DOM: 01-2026.</w:t>
            </w:r>
          </w:p>
          <w:p w14:paraId="7AA4C4E7" w14:textId="303995CA" w:rsidR="00727917" w:rsidRPr="00595108" w:rsidRDefault="00727917" w:rsidP="0072791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Raporty z testów bezpieczeństwa, wydajności i WCAG warto zaplanować 1–2 miesiące przed wdrożeniem, aby pozostawić czas na usunięcie wykrytych niezgodności.</w:t>
            </w:r>
          </w:p>
        </w:tc>
        <w:tc>
          <w:tcPr>
            <w:tcW w:w="3685" w:type="dxa"/>
          </w:tcPr>
          <w:p w14:paraId="1E22D21F" w14:textId="77777777" w:rsidR="00727917" w:rsidRPr="00595108" w:rsidRDefault="00727917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6" w:type="dxa"/>
          </w:tcPr>
          <w:p w14:paraId="38E3C102" w14:textId="6FF87815" w:rsidR="00727917" w:rsidRPr="00595108" w:rsidRDefault="003E62D5" w:rsidP="00A041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Wyjaśnienie: Testy prywatności</w:t>
            </w:r>
            <w:r w:rsidR="00B96D6E">
              <w:rPr>
                <w:rFonts w:asciiTheme="minorHAnsi" w:hAnsiTheme="minorHAnsi" w:cstheme="minorHAnsi"/>
                <w:sz w:val="22"/>
                <w:szCs w:val="22"/>
              </w:rPr>
              <w:t xml:space="preserve"> są dwa: 1. Inicjalny przed rozpoczęciem projektu</w:t>
            </w:r>
            <w:r w:rsidR="00936F2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947A9">
              <w:rPr>
                <w:rFonts w:asciiTheme="minorHAnsi" w:hAnsiTheme="minorHAnsi" w:cstheme="minorHAnsi"/>
                <w:sz w:val="22"/>
                <w:szCs w:val="22"/>
              </w:rPr>
              <w:t xml:space="preserve"> który został </w:t>
            </w:r>
            <w:r w:rsidR="004F4B9A">
              <w:rPr>
                <w:rFonts w:asciiTheme="minorHAnsi" w:hAnsiTheme="minorHAnsi" w:cstheme="minorHAnsi"/>
                <w:sz w:val="22"/>
                <w:szCs w:val="22"/>
              </w:rPr>
              <w:t xml:space="preserve">już wykonany oraz </w:t>
            </w:r>
            <w:r w:rsidR="00936F2A">
              <w:rPr>
                <w:rFonts w:asciiTheme="minorHAnsi" w:hAnsiTheme="minorHAnsi" w:cstheme="minorHAnsi"/>
                <w:sz w:val="22"/>
                <w:szCs w:val="22"/>
              </w:rPr>
              <w:t xml:space="preserve"> 2. Weryfikacyjny </w:t>
            </w:r>
            <w:r w:rsidR="00007A2F">
              <w:rPr>
                <w:rFonts w:asciiTheme="minorHAnsi" w:hAnsiTheme="minorHAnsi" w:cstheme="minorHAnsi"/>
                <w:sz w:val="22"/>
                <w:szCs w:val="22"/>
              </w:rPr>
              <w:t>przed odbiorem końcowym projektu</w:t>
            </w:r>
            <w:r w:rsidR="004F4B9A">
              <w:rPr>
                <w:rFonts w:asciiTheme="minorHAnsi" w:hAnsiTheme="minorHAnsi" w:cstheme="minorHAnsi"/>
                <w:sz w:val="22"/>
                <w:szCs w:val="22"/>
              </w:rPr>
              <w:t xml:space="preserve">, zgodnie z harmonogramem projektu </w:t>
            </w:r>
            <w:r w:rsidR="00E04B8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E04B85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F35492">
              <w:rPr>
                <w:rFonts w:asciiTheme="minorHAnsi" w:hAnsiTheme="minorHAnsi" w:cstheme="minorHAnsi"/>
                <w:sz w:val="22"/>
                <w:szCs w:val="22"/>
              </w:rPr>
              <w:t xml:space="preserve">W harmonogramie projektu są przewidziane </w:t>
            </w:r>
            <w:r w:rsidR="004F4B9A">
              <w:rPr>
                <w:rFonts w:asciiTheme="minorHAnsi" w:hAnsiTheme="minorHAnsi" w:cstheme="minorHAnsi"/>
                <w:sz w:val="22"/>
                <w:szCs w:val="22"/>
              </w:rPr>
              <w:t xml:space="preserve">również </w:t>
            </w:r>
            <w:r w:rsidR="004F4B9A" w:rsidRPr="00595108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  <w:r w:rsidR="000D58DF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="004F4B9A" w:rsidRPr="0059510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bezpieczeństwa, wydajności i WCAG</w:t>
            </w:r>
            <w:r w:rsidR="000D58D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727917" w:rsidRPr="00A06425" w14:paraId="21615A75" w14:textId="77777777" w:rsidTr="009278F4">
        <w:tc>
          <w:tcPr>
            <w:tcW w:w="562" w:type="dxa"/>
          </w:tcPr>
          <w:p w14:paraId="3F89A4D0" w14:textId="18661949" w:rsidR="00727917" w:rsidRPr="00595108" w:rsidRDefault="002B4555" w:rsidP="00435CA4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1134" w:type="dxa"/>
          </w:tcPr>
          <w:p w14:paraId="1E849954" w14:textId="51BE1D91" w:rsidR="00727917" w:rsidRPr="00595108" w:rsidRDefault="00E424AC" w:rsidP="00435CA4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595108">
              <w:rPr>
                <w:rFonts w:asciiTheme="minorHAnsi" w:hAnsiTheme="minorHAnsi" w:cstheme="minorHAnsi"/>
                <w:b/>
                <w:sz w:val="22"/>
                <w:szCs w:val="22"/>
              </w:rPr>
              <w:t>GUGiK</w:t>
            </w:r>
            <w:proofErr w:type="spellEnd"/>
          </w:p>
        </w:tc>
        <w:tc>
          <w:tcPr>
            <w:tcW w:w="1843" w:type="dxa"/>
          </w:tcPr>
          <w:p w14:paraId="5FFAF638" w14:textId="2D97DEEF" w:rsidR="00727917" w:rsidRPr="00595108" w:rsidRDefault="00727917" w:rsidP="00435C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6. OTOCZENIE PRAWNE</w:t>
            </w:r>
          </w:p>
        </w:tc>
        <w:tc>
          <w:tcPr>
            <w:tcW w:w="4678" w:type="dxa"/>
          </w:tcPr>
          <w:p w14:paraId="39C49FDB" w14:textId="43A48F62" w:rsidR="00727917" w:rsidRPr="00595108" w:rsidRDefault="00727917" w:rsidP="00435C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 xml:space="preserve">W otoczeniu prawnym nie uwzględniono ustawy </w:t>
            </w:r>
            <w:r w:rsidR="00595108">
              <w:rPr>
                <w:rFonts w:asciiTheme="minorHAnsi" w:hAnsiTheme="minorHAnsi" w:cstheme="minorHAnsi"/>
                <w:sz w:val="22"/>
                <w:szCs w:val="22"/>
              </w:rPr>
              <w:t xml:space="preserve">z dnia 17 maja 1989 r. </w:t>
            </w: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Prawo geodezyjne i kartograficzne oraz rozporządzenia Ministra Rozwoju, Pracy i Technologii z dnia 27 lipca 2021 r. w sprawie ewidencji gruntów i budynków.</w:t>
            </w:r>
          </w:p>
        </w:tc>
        <w:tc>
          <w:tcPr>
            <w:tcW w:w="3685" w:type="dxa"/>
          </w:tcPr>
          <w:p w14:paraId="47356269" w14:textId="07D65352" w:rsidR="00727917" w:rsidRPr="00595108" w:rsidRDefault="00727917" w:rsidP="00435C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5108">
              <w:rPr>
                <w:rFonts w:asciiTheme="minorHAnsi" w:hAnsiTheme="minorHAnsi" w:cstheme="minorHAnsi"/>
                <w:sz w:val="22"/>
                <w:szCs w:val="22"/>
              </w:rPr>
              <w:t>Dodanie wskazanych przepisów do sekcji 1.6 „Otoczenie prawne”.</w:t>
            </w:r>
          </w:p>
        </w:tc>
        <w:tc>
          <w:tcPr>
            <w:tcW w:w="3486" w:type="dxa"/>
          </w:tcPr>
          <w:p w14:paraId="0B93FEEF" w14:textId="6023A1B3" w:rsidR="00727917" w:rsidRPr="00595108" w:rsidRDefault="389ED045" w:rsidP="00435CA4">
            <w:pPr>
              <w:spacing w:line="259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63009A3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W otoczeniu prawnym (pkt 6 OZPI) nie została wymieniona ustawa </w:t>
            </w:r>
            <w:r w:rsidRPr="4C3E010F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z 17 </w:t>
            </w:r>
            <w:r w:rsidRPr="39F14F0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maja 1089 r.</w:t>
            </w:r>
            <w:r w:rsidRPr="5E784EC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63009A3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Prawo geodezyjne i kartograficzne </w:t>
            </w:r>
            <w:r w:rsidRPr="224968F9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oraz </w:t>
            </w:r>
            <w:r w:rsidRPr="11199E43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rozporządzenie </w:t>
            </w:r>
            <w:r w:rsidRPr="58E0753E">
              <w:rPr>
                <w:rFonts w:asciiTheme="minorHAnsi" w:hAnsiTheme="minorHAnsi" w:cstheme="minorBidi"/>
                <w:sz w:val="22"/>
                <w:szCs w:val="22"/>
              </w:rPr>
              <w:t>Ministra Rozwoju, Pracy i Technologii z dnia 27 lipca 2021 r. w sprawie ewidencji gruntów i budynków</w:t>
            </w:r>
            <w:r w:rsidRPr="79F58F2E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63009A3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z uwagi na fakt, iż ww. </w:t>
            </w:r>
            <w:r w:rsidRPr="76476154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akty</w:t>
            </w:r>
            <w:r w:rsidRPr="63009A3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6214F0B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prawne</w:t>
            </w:r>
            <w:r w:rsidRPr="63009A3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nie </w:t>
            </w:r>
            <w:r w:rsidRPr="6214F0B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wpływają</w:t>
            </w:r>
            <w:r w:rsidRPr="63009A3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na realizowany projekt Portal DOM, a także nie </w:t>
            </w:r>
            <w:r w:rsidRPr="6214F0B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wymagał</w:t>
            </w:r>
            <w:r w:rsidR="65AF29E1" w:rsidRPr="6214F0B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y</w:t>
            </w:r>
            <w:r w:rsidRPr="6214F0B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on</w:t>
            </w:r>
            <w:r w:rsidR="694AF967" w:rsidRPr="6214F0BC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</w:t>
            </w:r>
            <w:r w:rsidRPr="63009A30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żadnej zmiany w celu zapewnienia takiej gotowości do jego realizacji.</w:t>
            </w:r>
          </w:p>
          <w:p w14:paraId="660D256B" w14:textId="3E470FFC" w:rsidR="00727917" w:rsidRPr="00595108" w:rsidRDefault="00727917" w:rsidP="00435CA4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</w:tbl>
    <w:p w14:paraId="28C90A0F" w14:textId="77777777" w:rsidR="00C64B1B" w:rsidRDefault="00C64B1B" w:rsidP="00435CA4"/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A15B" w14:textId="77777777" w:rsidR="004F1E64" w:rsidRDefault="004F1E64" w:rsidP="007744D3">
      <w:r>
        <w:separator/>
      </w:r>
    </w:p>
  </w:endnote>
  <w:endnote w:type="continuationSeparator" w:id="0">
    <w:p w14:paraId="21F6A9BE" w14:textId="77777777" w:rsidR="004F1E64" w:rsidRDefault="004F1E64" w:rsidP="0077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1D009" w14:textId="77777777" w:rsidR="004F1E64" w:rsidRDefault="004F1E64" w:rsidP="007744D3">
      <w:r>
        <w:separator/>
      </w:r>
    </w:p>
  </w:footnote>
  <w:footnote w:type="continuationSeparator" w:id="0">
    <w:p w14:paraId="1D249FB4" w14:textId="77777777" w:rsidR="004F1E64" w:rsidRDefault="004F1E64" w:rsidP="00774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7A2F"/>
    <w:rsid w:val="00034258"/>
    <w:rsid w:val="00045056"/>
    <w:rsid w:val="000467CF"/>
    <w:rsid w:val="00047258"/>
    <w:rsid w:val="00056066"/>
    <w:rsid w:val="00063FB0"/>
    <w:rsid w:val="00065997"/>
    <w:rsid w:val="000926B2"/>
    <w:rsid w:val="000A334E"/>
    <w:rsid w:val="000A3DD7"/>
    <w:rsid w:val="000B1A76"/>
    <w:rsid w:val="000C4BEC"/>
    <w:rsid w:val="000C7E71"/>
    <w:rsid w:val="000D58DF"/>
    <w:rsid w:val="000E28BA"/>
    <w:rsid w:val="000E291A"/>
    <w:rsid w:val="000F1E9B"/>
    <w:rsid w:val="000F756D"/>
    <w:rsid w:val="00106392"/>
    <w:rsid w:val="00125F67"/>
    <w:rsid w:val="001340C6"/>
    <w:rsid w:val="00137F17"/>
    <w:rsid w:val="00140BE8"/>
    <w:rsid w:val="00160420"/>
    <w:rsid w:val="00173B96"/>
    <w:rsid w:val="0017558B"/>
    <w:rsid w:val="001813EF"/>
    <w:rsid w:val="0018166F"/>
    <w:rsid w:val="0019342F"/>
    <w:rsid w:val="0019648E"/>
    <w:rsid w:val="001A0BD0"/>
    <w:rsid w:val="001B051A"/>
    <w:rsid w:val="001F224D"/>
    <w:rsid w:val="00201603"/>
    <w:rsid w:val="00211A25"/>
    <w:rsid w:val="00215430"/>
    <w:rsid w:val="00216848"/>
    <w:rsid w:val="00221965"/>
    <w:rsid w:val="00231D47"/>
    <w:rsid w:val="00233723"/>
    <w:rsid w:val="0024259F"/>
    <w:rsid w:val="00247E7B"/>
    <w:rsid w:val="00251A5D"/>
    <w:rsid w:val="0026200F"/>
    <w:rsid w:val="002628AC"/>
    <w:rsid w:val="002715B2"/>
    <w:rsid w:val="00274CDB"/>
    <w:rsid w:val="002817D3"/>
    <w:rsid w:val="00283AB1"/>
    <w:rsid w:val="00294423"/>
    <w:rsid w:val="002A2C78"/>
    <w:rsid w:val="002A55E5"/>
    <w:rsid w:val="002B4555"/>
    <w:rsid w:val="002B50FC"/>
    <w:rsid w:val="002B6D08"/>
    <w:rsid w:val="002C0488"/>
    <w:rsid w:val="002C42A4"/>
    <w:rsid w:val="002C67E1"/>
    <w:rsid w:val="002C755B"/>
    <w:rsid w:val="002D2EBF"/>
    <w:rsid w:val="002D4619"/>
    <w:rsid w:val="002D51E2"/>
    <w:rsid w:val="002F162E"/>
    <w:rsid w:val="002F3979"/>
    <w:rsid w:val="002F45FD"/>
    <w:rsid w:val="00303FE5"/>
    <w:rsid w:val="003124D1"/>
    <w:rsid w:val="00312811"/>
    <w:rsid w:val="003233B6"/>
    <w:rsid w:val="00323CB6"/>
    <w:rsid w:val="00327E77"/>
    <w:rsid w:val="00336D01"/>
    <w:rsid w:val="0035491B"/>
    <w:rsid w:val="00354AB4"/>
    <w:rsid w:val="00364E04"/>
    <w:rsid w:val="00380391"/>
    <w:rsid w:val="00382234"/>
    <w:rsid w:val="00390F86"/>
    <w:rsid w:val="003A6FB6"/>
    <w:rsid w:val="003A7DE3"/>
    <w:rsid w:val="003B0201"/>
    <w:rsid w:val="003B2389"/>
    <w:rsid w:val="003B4105"/>
    <w:rsid w:val="003B4CB4"/>
    <w:rsid w:val="003C4297"/>
    <w:rsid w:val="003C62CF"/>
    <w:rsid w:val="003D0CBC"/>
    <w:rsid w:val="003E62D5"/>
    <w:rsid w:val="003F11F0"/>
    <w:rsid w:val="003F2FD7"/>
    <w:rsid w:val="003F3D96"/>
    <w:rsid w:val="003F6955"/>
    <w:rsid w:val="00402CB6"/>
    <w:rsid w:val="00411377"/>
    <w:rsid w:val="0041361B"/>
    <w:rsid w:val="00414535"/>
    <w:rsid w:val="004243E0"/>
    <w:rsid w:val="00426881"/>
    <w:rsid w:val="00426ED9"/>
    <w:rsid w:val="00435CA4"/>
    <w:rsid w:val="00440331"/>
    <w:rsid w:val="00453E2F"/>
    <w:rsid w:val="0045663B"/>
    <w:rsid w:val="00462895"/>
    <w:rsid w:val="004669DF"/>
    <w:rsid w:val="00476E55"/>
    <w:rsid w:val="00481096"/>
    <w:rsid w:val="004933F2"/>
    <w:rsid w:val="004947A9"/>
    <w:rsid w:val="004954C5"/>
    <w:rsid w:val="004B3766"/>
    <w:rsid w:val="004B6A52"/>
    <w:rsid w:val="004D086F"/>
    <w:rsid w:val="004D1A58"/>
    <w:rsid w:val="004D674A"/>
    <w:rsid w:val="004D6EDF"/>
    <w:rsid w:val="004D7CB2"/>
    <w:rsid w:val="004E611D"/>
    <w:rsid w:val="004E6A15"/>
    <w:rsid w:val="004F1E64"/>
    <w:rsid w:val="004F4B9A"/>
    <w:rsid w:val="004F7A92"/>
    <w:rsid w:val="004F7D4F"/>
    <w:rsid w:val="004F7F4F"/>
    <w:rsid w:val="005039E8"/>
    <w:rsid w:val="0051453D"/>
    <w:rsid w:val="00517342"/>
    <w:rsid w:val="00526A85"/>
    <w:rsid w:val="00527397"/>
    <w:rsid w:val="0053504A"/>
    <w:rsid w:val="005505A5"/>
    <w:rsid w:val="00575484"/>
    <w:rsid w:val="00575D35"/>
    <w:rsid w:val="00583403"/>
    <w:rsid w:val="0058453B"/>
    <w:rsid w:val="00595108"/>
    <w:rsid w:val="0059634A"/>
    <w:rsid w:val="005A7D6C"/>
    <w:rsid w:val="005C61F4"/>
    <w:rsid w:val="005D7729"/>
    <w:rsid w:val="005E082E"/>
    <w:rsid w:val="005E3E67"/>
    <w:rsid w:val="005F1E5D"/>
    <w:rsid w:val="005F6527"/>
    <w:rsid w:val="00606102"/>
    <w:rsid w:val="0061450A"/>
    <w:rsid w:val="006165C4"/>
    <w:rsid w:val="00622B45"/>
    <w:rsid w:val="00641F87"/>
    <w:rsid w:val="00642D65"/>
    <w:rsid w:val="00651A1F"/>
    <w:rsid w:val="006562B6"/>
    <w:rsid w:val="006705EC"/>
    <w:rsid w:val="006713DC"/>
    <w:rsid w:val="00687EFD"/>
    <w:rsid w:val="006A0D75"/>
    <w:rsid w:val="006B125E"/>
    <w:rsid w:val="006B1C7B"/>
    <w:rsid w:val="006B3AAB"/>
    <w:rsid w:val="006B42AD"/>
    <w:rsid w:val="006C4426"/>
    <w:rsid w:val="006E16E9"/>
    <w:rsid w:val="006E73FA"/>
    <w:rsid w:val="006F11F0"/>
    <w:rsid w:val="0070486C"/>
    <w:rsid w:val="0070785E"/>
    <w:rsid w:val="0072591E"/>
    <w:rsid w:val="00727917"/>
    <w:rsid w:val="007336CE"/>
    <w:rsid w:val="00746A6D"/>
    <w:rsid w:val="00747269"/>
    <w:rsid w:val="007642E4"/>
    <w:rsid w:val="007733F4"/>
    <w:rsid w:val="007742D8"/>
    <w:rsid w:val="007744D3"/>
    <w:rsid w:val="00792977"/>
    <w:rsid w:val="0079569F"/>
    <w:rsid w:val="007A780F"/>
    <w:rsid w:val="007B5827"/>
    <w:rsid w:val="007C6142"/>
    <w:rsid w:val="007E60F5"/>
    <w:rsid w:val="007F0E40"/>
    <w:rsid w:val="007F71F7"/>
    <w:rsid w:val="00807385"/>
    <w:rsid w:val="0081767F"/>
    <w:rsid w:val="0081798F"/>
    <w:rsid w:val="00821413"/>
    <w:rsid w:val="00824DC9"/>
    <w:rsid w:val="00824E97"/>
    <w:rsid w:val="00841B62"/>
    <w:rsid w:val="00850B7D"/>
    <w:rsid w:val="0086431D"/>
    <w:rsid w:val="00867105"/>
    <w:rsid w:val="0087006E"/>
    <w:rsid w:val="008719A2"/>
    <w:rsid w:val="00873B5D"/>
    <w:rsid w:val="00875E1C"/>
    <w:rsid w:val="008A2AF4"/>
    <w:rsid w:val="008B2302"/>
    <w:rsid w:val="008B5499"/>
    <w:rsid w:val="008E1744"/>
    <w:rsid w:val="008E291A"/>
    <w:rsid w:val="008F0131"/>
    <w:rsid w:val="008F7091"/>
    <w:rsid w:val="00907206"/>
    <w:rsid w:val="00910B70"/>
    <w:rsid w:val="00911DA5"/>
    <w:rsid w:val="00914CD4"/>
    <w:rsid w:val="009206B6"/>
    <w:rsid w:val="00920826"/>
    <w:rsid w:val="009225FC"/>
    <w:rsid w:val="00924D3F"/>
    <w:rsid w:val="009278F4"/>
    <w:rsid w:val="00936F2A"/>
    <w:rsid w:val="00936FA1"/>
    <w:rsid w:val="00937E7E"/>
    <w:rsid w:val="00944932"/>
    <w:rsid w:val="009562F7"/>
    <w:rsid w:val="009634C9"/>
    <w:rsid w:val="00971D66"/>
    <w:rsid w:val="009739E0"/>
    <w:rsid w:val="00974339"/>
    <w:rsid w:val="00982E18"/>
    <w:rsid w:val="009846F8"/>
    <w:rsid w:val="009B5747"/>
    <w:rsid w:val="009B72C8"/>
    <w:rsid w:val="009C18FC"/>
    <w:rsid w:val="009D4EB8"/>
    <w:rsid w:val="009E5FDB"/>
    <w:rsid w:val="009E6DA8"/>
    <w:rsid w:val="009E7313"/>
    <w:rsid w:val="009F5A4C"/>
    <w:rsid w:val="00A041AF"/>
    <w:rsid w:val="00A06425"/>
    <w:rsid w:val="00A13CA3"/>
    <w:rsid w:val="00A16BE7"/>
    <w:rsid w:val="00A26AF0"/>
    <w:rsid w:val="00A310F0"/>
    <w:rsid w:val="00A416C2"/>
    <w:rsid w:val="00A504BA"/>
    <w:rsid w:val="00A508DC"/>
    <w:rsid w:val="00A557A1"/>
    <w:rsid w:val="00A62AE8"/>
    <w:rsid w:val="00A71635"/>
    <w:rsid w:val="00A7359C"/>
    <w:rsid w:val="00A75007"/>
    <w:rsid w:val="00A814CA"/>
    <w:rsid w:val="00A92548"/>
    <w:rsid w:val="00A9404F"/>
    <w:rsid w:val="00AA28F3"/>
    <w:rsid w:val="00AA5501"/>
    <w:rsid w:val="00AB0560"/>
    <w:rsid w:val="00AB1327"/>
    <w:rsid w:val="00AB6800"/>
    <w:rsid w:val="00AC10D8"/>
    <w:rsid w:val="00AC1A2E"/>
    <w:rsid w:val="00AC7796"/>
    <w:rsid w:val="00AD19EE"/>
    <w:rsid w:val="00AD3D90"/>
    <w:rsid w:val="00AF5846"/>
    <w:rsid w:val="00B07648"/>
    <w:rsid w:val="00B10C5A"/>
    <w:rsid w:val="00B46EF1"/>
    <w:rsid w:val="00B53D83"/>
    <w:rsid w:val="00B7215C"/>
    <w:rsid w:val="00B72469"/>
    <w:rsid w:val="00B76BAE"/>
    <w:rsid w:val="00B83645"/>
    <w:rsid w:val="00B871B6"/>
    <w:rsid w:val="00B96D6E"/>
    <w:rsid w:val="00BE1C55"/>
    <w:rsid w:val="00BF6EF9"/>
    <w:rsid w:val="00C01EC8"/>
    <w:rsid w:val="00C14D42"/>
    <w:rsid w:val="00C22E82"/>
    <w:rsid w:val="00C26A09"/>
    <w:rsid w:val="00C27919"/>
    <w:rsid w:val="00C30D91"/>
    <w:rsid w:val="00C36C03"/>
    <w:rsid w:val="00C4496D"/>
    <w:rsid w:val="00C51F7A"/>
    <w:rsid w:val="00C56542"/>
    <w:rsid w:val="00C60643"/>
    <w:rsid w:val="00C6101F"/>
    <w:rsid w:val="00C64B1B"/>
    <w:rsid w:val="00C64BF6"/>
    <w:rsid w:val="00C675E1"/>
    <w:rsid w:val="00C81B12"/>
    <w:rsid w:val="00CA093A"/>
    <w:rsid w:val="00CA6D81"/>
    <w:rsid w:val="00CB0768"/>
    <w:rsid w:val="00CB580E"/>
    <w:rsid w:val="00CC2541"/>
    <w:rsid w:val="00CC5318"/>
    <w:rsid w:val="00CD1441"/>
    <w:rsid w:val="00CD5EB0"/>
    <w:rsid w:val="00CE4558"/>
    <w:rsid w:val="00CE7BD1"/>
    <w:rsid w:val="00CF237C"/>
    <w:rsid w:val="00D114ED"/>
    <w:rsid w:val="00D147BD"/>
    <w:rsid w:val="00D41CF3"/>
    <w:rsid w:val="00D578FE"/>
    <w:rsid w:val="00D64C53"/>
    <w:rsid w:val="00D82CE9"/>
    <w:rsid w:val="00D8424A"/>
    <w:rsid w:val="00D935C4"/>
    <w:rsid w:val="00DA3C86"/>
    <w:rsid w:val="00DB1F3D"/>
    <w:rsid w:val="00DB5BF2"/>
    <w:rsid w:val="00DD0124"/>
    <w:rsid w:val="00DD7911"/>
    <w:rsid w:val="00DF779F"/>
    <w:rsid w:val="00E025C7"/>
    <w:rsid w:val="00E04B85"/>
    <w:rsid w:val="00E14C33"/>
    <w:rsid w:val="00E16B3F"/>
    <w:rsid w:val="00E16C7D"/>
    <w:rsid w:val="00E2517E"/>
    <w:rsid w:val="00E40009"/>
    <w:rsid w:val="00E424AC"/>
    <w:rsid w:val="00E475C6"/>
    <w:rsid w:val="00E55AB5"/>
    <w:rsid w:val="00E561E6"/>
    <w:rsid w:val="00E5763F"/>
    <w:rsid w:val="00E64AF3"/>
    <w:rsid w:val="00E65262"/>
    <w:rsid w:val="00E74EFD"/>
    <w:rsid w:val="00E812BB"/>
    <w:rsid w:val="00EA2F8A"/>
    <w:rsid w:val="00EB381F"/>
    <w:rsid w:val="00EB4021"/>
    <w:rsid w:val="00EB59E7"/>
    <w:rsid w:val="00EC0FB0"/>
    <w:rsid w:val="00EC5D56"/>
    <w:rsid w:val="00ED7FF6"/>
    <w:rsid w:val="00EE2A26"/>
    <w:rsid w:val="00EE453D"/>
    <w:rsid w:val="00EF70F5"/>
    <w:rsid w:val="00F026E1"/>
    <w:rsid w:val="00F02A28"/>
    <w:rsid w:val="00F03551"/>
    <w:rsid w:val="00F04AC5"/>
    <w:rsid w:val="00F17067"/>
    <w:rsid w:val="00F171A1"/>
    <w:rsid w:val="00F35492"/>
    <w:rsid w:val="00F7483A"/>
    <w:rsid w:val="00F77366"/>
    <w:rsid w:val="00F812EE"/>
    <w:rsid w:val="00F83106"/>
    <w:rsid w:val="00F84DD7"/>
    <w:rsid w:val="00FA0381"/>
    <w:rsid w:val="00FA510E"/>
    <w:rsid w:val="00FB026F"/>
    <w:rsid w:val="00FB6478"/>
    <w:rsid w:val="00FC4000"/>
    <w:rsid w:val="00FC5D7A"/>
    <w:rsid w:val="00FC5F81"/>
    <w:rsid w:val="00FD7AD7"/>
    <w:rsid w:val="00FE340E"/>
    <w:rsid w:val="00FE345C"/>
    <w:rsid w:val="00FE6E50"/>
    <w:rsid w:val="00FE7E11"/>
    <w:rsid w:val="00FF1FAF"/>
    <w:rsid w:val="11199E43"/>
    <w:rsid w:val="224968F9"/>
    <w:rsid w:val="31CB9FA3"/>
    <w:rsid w:val="389ED045"/>
    <w:rsid w:val="39F14F00"/>
    <w:rsid w:val="3B84966C"/>
    <w:rsid w:val="4C3E010F"/>
    <w:rsid w:val="58E0753E"/>
    <w:rsid w:val="5E784EC3"/>
    <w:rsid w:val="604D6E0F"/>
    <w:rsid w:val="6214F0BC"/>
    <w:rsid w:val="63009A30"/>
    <w:rsid w:val="65AF29E1"/>
    <w:rsid w:val="694AF967"/>
    <w:rsid w:val="76476154"/>
    <w:rsid w:val="79F58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0D796"/>
  <w15:chartTrackingRefBased/>
  <w15:docId w15:val="{ABA651F2-2CE3-4C16-A06D-3BF7215E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B7246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246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924D3F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rsid w:val="0072791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279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27917"/>
  </w:style>
  <w:style w:type="paragraph" w:styleId="Tematkomentarza">
    <w:name w:val="annotation subject"/>
    <w:basedOn w:val="Tekstkomentarza"/>
    <w:next w:val="Tekstkomentarza"/>
    <w:link w:val="TematkomentarzaZnak"/>
    <w:rsid w:val="007279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27917"/>
    <w:rPr>
      <w:b/>
      <w:bCs/>
    </w:rPr>
  </w:style>
  <w:style w:type="character" w:styleId="Wzmianka">
    <w:name w:val="Mention"/>
    <w:basedOn w:val="Domylnaczcionkaakapitu"/>
    <w:uiPriority w:val="99"/>
    <w:unhideWhenUsed/>
    <w:rsid w:val="00FA510E"/>
    <w:rPr>
      <w:color w:val="2B579A"/>
      <w:shd w:val="clear" w:color="auto" w:fill="E1DFDD"/>
    </w:rPr>
  </w:style>
  <w:style w:type="paragraph" w:styleId="Tekstprzypisukocowego">
    <w:name w:val="endnote text"/>
    <w:basedOn w:val="Normalny"/>
    <w:link w:val="TekstprzypisukocowegoZnak"/>
    <w:rsid w:val="007744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744D3"/>
  </w:style>
  <w:style w:type="character" w:styleId="Odwoanieprzypisukocowego">
    <w:name w:val="endnote reference"/>
    <w:basedOn w:val="Domylnaczcionkaakapitu"/>
    <w:rsid w:val="007744D3"/>
    <w:rPr>
      <w:vertAlign w:val="superscript"/>
    </w:rPr>
  </w:style>
  <w:style w:type="paragraph" w:styleId="Nagwek">
    <w:name w:val="header"/>
    <w:basedOn w:val="Normalny"/>
    <w:link w:val="NagwekZnak"/>
    <w:rsid w:val="007744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44D3"/>
    <w:rPr>
      <w:sz w:val="24"/>
      <w:szCs w:val="24"/>
    </w:rPr>
  </w:style>
  <w:style w:type="paragraph" w:styleId="Stopka">
    <w:name w:val="footer"/>
    <w:basedOn w:val="Normalny"/>
    <w:link w:val="StopkaZnak"/>
    <w:rsid w:val="007744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44D3"/>
    <w:rPr>
      <w:sz w:val="24"/>
      <w:szCs w:val="24"/>
    </w:rPr>
  </w:style>
  <w:style w:type="paragraph" w:styleId="Poprawka">
    <w:name w:val="Revision"/>
    <w:hidden/>
    <w:uiPriority w:val="99"/>
    <w:semiHidden/>
    <w:rsid w:val="004947A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eoportal.gov.pl/pl/dane/rejestr-cen-nieruchomosci-rcn/" TargetMode="External"/><Relationship Id="rId5" Type="http://schemas.openxmlformats.org/officeDocument/2006/relationships/styles" Target="styles.xml"/><Relationship Id="rId10" Type="http://schemas.openxmlformats.org/officeDocument/2006/relationships/hyperlink" Target="https://mapy.geoportal.gov.pl/imapnext/imap/index.html?moduleId=modulRC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d8701f88efaec9dfa0dd7d86eff35c0f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ffda89e2299d6b13e11970da0668658e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F488E-2E23-4ED6-9485-9ACACA9F1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3C38A-13D0-41D2-B12E-32EB1A5CCBB1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customXml/itemProps3.xml><?xml version="1.0" encoding="utf-8"?>
<ds:datastoreItem xmlns:ds="http://schemas.openxmlformats.org/officeDocument/2006/customXml" ds:itemID="{BB34271A-0317-4061-94AD-781C0D8CA8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42A4CC-1DAF-46E3-B7A0-65874CBD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1434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10020</CharactersWithSpaces>
  <SharedDoc>false</SharedDoc>
  <HLinks>
    <vt:vector size="18" baseType="variant">
      <vt:variant>
        <vt:i4>8323196</vt:i4>
      </vt:variant>
      <vt:variant>
        <vt:i4>3</vt:i4>
      </vt:variant>
      <vt:variant>
        <vt:i4>0</vt:i4>
      </vt:variant>
      <vt:variant>
        <vt:i4>5</vt:i4>
      </vt:variant>
      <vt:variant>
        <vt:lpwstr>https://www.geoportal.gov.pl/pl/dane/rejestr-cen-nieruchomosci-rcn/</vt:lpwstr>
      </vt:variant>
      <vt:variant>
        <vt:lpwstr/>
      </vt:variant>
      <vt:variant>
        <vt:i4>1638408</vt:i4>
      </vt:variant>
      <vt:variant>
        <vt:i4>0</vt:i4>
      </vt:variant>
      <vt:variant>
        <vt:i4>0</vt:i4>
      </vt:variant>
      <vt:variant>
        <vt:i4>5</vt:i4>
      </vt:variant>
      <vt:variant>
        <vt:lpwstr>https://mapy.geoportal.gov.pl/imapnext/imap/index.html?moduleId=modulRCN</vt:lpwstr>
      </vt:variant>
      <vt:variant>
        <vt:lpwstr/>
      </vt:variant>
      <vt:variant>
        <vt:i4>1114156</vt:i4>
      </vt:variant>
      <vt:variant>
        <vt:i4>0</vt:i4>
      </vt:variant>
      <vt:variant>
        <vt:i4>0</vt:i4>
      </vt:variant>
      <vt:variant>
        <vt:i4>5</vt:i4>
      </vt:variant>
      <vt:variant>
        <vt:lpwstr>mailto:jnowakowski@ufg.pl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Marlena Tryka</cp:lastModifiedBy>
  <cp:revision>153</cp:revision>
  <dcterms:created xsi:type="dcterms:W3CDTF">2026-07-17T16:18:00Z</dcterms:created>
  <dcterms:modified xsi:type="dcterms:W3CDTF">2026-07-20T10:06:00Z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0x010100786744C7D7285248976A603FF14D3185</vt:lpwstr>
  </property>
  <property fmtid="{D5CDD505-2E9C-101B-9397-08002B2CF9AE}" pid="3" name="MediaServiceImageTags">
    <vt:lpwstr/>
  </property>
</Properties>
</file>